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W w:w="8647" w:type="dxa"/>
        <w:tblInd w:w="-5" w:type="dxa"/>
        <w:tblLayout w:type="autofit"/>
        <w:tblCellMar>
          <w:top w:w="0" w:type="dxa"/>
          <w:left w:w="108" w:type="dxa"/>
          <w:bottom w:w="0" w:type="dxa"/>
          <w:right w:w="108" w:type="dxa"/>
        </w:tblCellMar>
      </w:tblPr>
      <w:tblGrid>
        <w:gridCol w:w="567"/>
        <w:gridCol w:w="1276"/>
        <w:gridCol w:w="5387"/>
        <w:gridCol w:w="708"/>
        <w:gridCol w:w="709"/>
      </w:tblGrid>
      <w:tr>
        <w:tblPrEx>
          <w:tblCellMar>
            <w:top w:w="0" w:type="dxa"/>
            <w:left w:w="108" w:type="dxa"/>
            <w:bottom w:w="0" w:type="dxa"/>
            <w:right w:w="108" w:type="dxa"/>
          </w:tblCellMar>
        </w:tblPrEx>
        <w:trPr>
          <w:trHeight w:val="510" w:hRule="atLeast"/>
        </w:trPr>
        <w:tc>
          <w:tcPr>
            <w:tcW w:w="5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bookmarkStart w:id="0" w:name="_GoBack"/>
            <w:bookmarkEnd w:id="0"/>
            <w:r>
              <w:rPr>
                <w:rFonts w:hint="eastAsia" w:ascii="宋体" w:hAnsi="宋体" w:eastAsia="宋体" w:cs="宋体"/>
                <w:color w:val="000000"/>
                <w:kern w:val="0"/>
                <w:sz w:val="18"/>
                <w:szCs w:val="18"/>
              </w:rPr>
              <w:t>序号</w:t>
            </w:r>
          </w:p>
        </w:tc>
        <w:tc>
          <w:tcPr>
            <w:tcW w:w="12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标的物名称</w:t>
            </w:r>
          </w:p>
        </w:tc>
        <w:tc>
          <w:tcPr>
            <w:tcW w:w="5387"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参数</w:t>
            </w:r>
          </w:p>
        </w:tc>
        <w:tc>
          <w:tcPr>
            <w:tcW w:w="708"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单位</w:t>
            </w:r>
          </w:p>
        </w:tc>
        <w:tc>
          <w:tcPr>
            <w:tcW w:w="70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数量</w:t>
            </w:r>
          </w:p>
        </w:tc>
      </w:tr>
      <w:tr>
        <w:tblPrEx>
          <w:tblCellMar>
            <w:top w:w="0" w:type="dxa"/>
            <w:left w:w="108" w:type="dxa"/>
            <w:bottom w:w="0" w:type="dxa"/>
            <w:right w:w="108" w:type="dxa"/>
          </w:tblCellMar>
        </w:tblPrEx>
        <w:trPr>
          <w:trHeight w:val="2400"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网络认证准入客户端授权</w:t>
            </w:r>
          </w:p>
        </w:tc>
        <w:tc>
          <w:tcPr>
            <w:tcW w:w="5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支持PAP认证、CHAP认证、EAP-MD5认证、EAP-PAP认证、EAP-TLS认证、EAP-PEAP-MSCHAPV2认证、EAP-PEAP-MDEAP-GTC、EAP-TTLS认证，防客户端破解；提供根据终端接入区域、接入时间段、终端IP地址、终端MAC地址、终端厂商、终端操作系统和终端类型等对网络接入终端授予不同的访问权限。提供访客账号与设备IP地址、接入端口、VLAN、用户IP地址、MAC地址、SSID等信息绑定认证，增强访客认证的安全性，防止帐号盗用和非法接入；可以控制访客的上网带宽（QoS）、访客账号有效上网时长，有效防止个别访客对网络资源的过度占用；可以实现对访客ACL、VLAN的控制，限制访客对内部敏感服务器和外部非法网站的访问；可以限制访客的接入时段和接入区域，访客只能在允许的时间和地点上网；支持访客使用一次一密方式，访客密码可设置有效时长；支持访客管理员权限区分。每组授权配置应用驱动终端智能接入2</w:t>
            </w:r>
            <w:r>
              <w:rPr>
                <w:rFonts w:ascii="宋体" w:hAnsi="宋体" w:eastAsia="宋体" w:cs="宋体"/>
                <w:color w:val="000000"/>
                <w:kern w:val="0"/>
                <w:sz w:val="18"/>
                <w:szCs w:val="18"/>
              </w:rPr>
              <w:t>0</w:t>
            </w:r>
            <w:r>
              <w:rPr>
                <w:rFonts w:hint="eastAsia" w:ascii="宋体" w:hAnsi="宋体" w:eastAsia="宋体" w:cs="宋体"/>
                <w:color w:val="000000"/>
                <w:kern w:val="0"/>
                <w:sz w:val="18"/>
                <w:szCs w:val="18"/>
              </w:rPr>
              <w:t>00 License。</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套</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1</w:t>
            </w:r>
          </w:p>
        </w:tc>
      </w:tr>
      <w:tr>
        <w:tblPrEx>
          <w:tblCellMar>
            <w:top w:w="0" w:type="dxa"/>
            <w:left w:w="108" w:type="dxa"/>
            <w:bottom w:w="0" w:type="dxa"/>
            <w:right w:w="108" w:type="dxa"/>
          </w:tblCellMar>
        </w:tblPrEx>
        <w:trPr>
          <w:trHeight w:val="1920"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127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网络流量分析授权</w:t>
            </w:r>
          </w:p>
        </w:tc>
        <w:tc>
          <w:tcPr>
            <w:tcW w:w="538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通过通过多台网流服务器分布式安装。提供MAC地址、主机名称查询功能，根据IP地址使用ARP、NetBios协议、域名解析查询对应的机器MAC地址和主机名称；支持用户上网明细查询功能，以表格的形式，显示特定主机在给定时间段内的用户上网明细，并能查看每个用户的详细信息。支持NetStream、SFlow IPv6日志的流量分析，智能分析历史流量建立流量基线，当流量突变时自动产生告警，以短信、邮件等多种方式通知管理员。支持基于主机连接数的统计分析及告警，当主机连接数超过一定阈值后可以产生告警。配置终端应用驱动终端智能接入</w:t>
            </w:r>
            <w:r>
              <w:rPr>
                <w:rFonts w:ascii="宋体" w:hAnsi="宋体" w:eastAsia="宋体" w:cs="宋体"/>
                <w:color w:val="000000"/>
                <w:kern w:val="0"/>
                <w:sz w:val="18"/>
                <w:szCs w:val="18"/>
              </w:rPr>
              <w:t>20</w:t>
            </w:r>
            <w:r>
              <w:rPr>
                <w:rFonts w:hint="eastAsia" w:ascii="宋体" w:hAnsi="宋体" w:eastAsia="宋体" w:cs="宋体"/>
                <w:color w:val="000000"/>
                <w:kern w:val="0"/>
                <w:sz w:val="18"/>
                <w:szCs w:val="18"/>
              </w:rPr>
              <w:t xml:space="preserve">00 License  </w:t>
            </w:r>
          </w:p>
        </w:tc>
        <w:tc>
          <w:tcPr>
            <w:tcW w:w="70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套</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 w:val="18"/>
                <w:szCs w:val="18"/>
              </w:rPr>
            </w:pPr>
            <w:r>
              <w:rPr>
                <w:rFonts w:ascii="宋体" w:hAnsi="宋体" w:eastAsia="宋体" w:cs="宋体"/>
                <w:color w:val="000000"/>
                <w:kern w:val="0"/>
                <w:sz w:val="18"/>
                <w:szCs w:val="18"/>
              </w:rPr>
              <w:t>1</w:t>
            </w:r>
          </w:p>
        </w:tc>
      </w:tr>
    </w:tbl>
    <w:p/>
    <w:p/>
    <w:p/>
    <w:p/>
    <w:p>
      <w:r>
        <w:br w:type="textWrapping"/>
      </w:r>
    </w:p>
    <w:p/>
    <w:p/>
    <w:p/>
    <w:p/>
    <w:p/>
    <w:p/>
    <w:p/>
    <w:p/>
    <w:p/>
    <w:p/>
    <w:p/>
    <w:p/>
    <w:p/>
    <w:p>
      <w:pPr>
        <w:rPr>
          <w:b/>
          <w:bCs/>
        </w:rPr>
      </w:pPr>
      <w:r>
        <w:rPr>
          <w:rFonts w:hint="eastAsia"/>
          <w:b/>
          <w:bCs/>
        </w:rPr>
        <w:t>网络认证准入客户端授权认证</w:t>
      </w:r>
      <w:r>
        <w:rPr>
          <w:b/>
          <w:bCs/>
        </w:rPr>
        <w:t>参数指标</w:t>
      </w:r>
    </w:p>
    <w:p/>
    <w:tbl>
      <w:tblPr>
        <w:tblStyle w:val="16"/>
        <w:tblW w:w="907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7"/>
        <w:gridCol w:w="6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vAlign w:val="center"/>
          </w:tcPr>
          <w:p>
            <w:pPr>
              <w:rPr>
                <w:rFonts w:ascii="Tahoma" w:hAnsi="Tahoma" w:cs="Tahoma"/>
                <w:color w:val="000000"/>
                <w:szCs w:val="18"/>
              </w:rPr>
            </w:pPr>
            <w:r>
              <w:rPr>
                <w:rFonts w:ascii="Tahoma" w:hAnsi="Tahoma" w:cs="Tahoma"/>
                <w:color w:val="000000"/>
                <w:szCs w:val="18"/>
              </w:rPr>
              <w:t>指标项</w:t>
            </w:r>
          </w:p>
        </w:tc>
        <w:tc>
          <w:tcPr>
            <w:tcW w:w="6946" w:type="dxa"/>
            <w:vAlign w:val="center"/>
          </w:tcPr>
          <w:p>
            <w:pPr>
              <w:rPr>
                <w:rFonts w:ascii="Tahoma" w:hAnsi="Tahoma" w:cs="Tahoma"/>
                <w:color w:val="000000"/>
                <w:szCs w:val="18"/>
              </w:rPr>
            </w:pPr>
            <w:r>
              <w:rPr>
                <w:rFonts w:ascii="Tahoma" w:hAnsi="Tahoma" w:cs="Tahoma"/>
                <w:color w:val="000000"/>
                <w:szCs w:val="18"/>
              </w:rPr>
              <w:t>招标参数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vAlign w:val="center"/>
          </w:tcPr>
          <w:p>
            <w:pPr>
              <w:rPr>
                <w:rFonts w:ascii="Tahoma" w:hAnsi="Tahoma" w:cs="Tahoma"/>
                <w:color w:val="000000"/>
                <w:szCs w:val="18"/>
              </w:rPr>
            </w:pPr>
            <w:r>
              <w:rPr>
                <w:rFonts w:hint="eastAsia" w:ascii="Tahoma" w:hAnsi="Tahoma" w:cs="Tahoma"/>
                <w:color w:val="000000"/>
                <w:szCs w:val="18"/>
              </w:rPr>
              <w:t>兼容性</w:t>
            </w:r>
          </w:p>
        </w:tc>
        <w:tc>
          <w:tcPr>
            <w:tcW w:w="6946" w:type="dxa"/>
            <w:vAlign w:val="center"/>
          </w:tcPr>
          <w:p>
            <w:pPr>
              <w:rPr>
                <w:rFonts w:ascii="Tahoma" w:hAnsi="Tahoma" w:cs="Tahoma"/>
                <w:color w:val="000000"/>
                <w:szCs w:val="18"/>
              </w:rPr>
            </w:pPr>
            <w:r>
              <w:rPr>
                <w:rFonts w:hint="eastAsia" w:ascii="Tahoma" w:hAnsi="Tahoma" w:cs="Tahoma"/>
                <w:color w:val="000000"/>
                <w:szCs w:val="18"/>
              </w:rPr>
              <w:t xml:space="preserve">现有软件与原有平台兼容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宋体" w:hAnsi="宋体" w:cs="宋体"/>
                <w:kern w:val="0"/>
                <w:szCs w:val="21"/>
              </w:rPr>
              <w:t>★</w:t>
            </w:r>
            <w:r>
              <w:rPr>
                <w:rFonts w:hint="eastAsia" w:ascii="Tahoma" w:hAnsi="Tahoma" w:cs="Tahoma"/>
                <w:color w:val="000000"/>
                <w:szCs w:val="18"/>
              </w:rPr>
              <w:t>多种802.1X接入认证：</w:t>
            </w:r>
          </w:p>
        </w:tc>
        <w:tc>
          <w:tcPr>
            <w:tcW w:w="6946" w:type="dxa"/>
          </w:tcPr>
          <w:p>
            <w:pPr>
              <w:rPr>
                <w:rFonts w:ascii="Tahoma" w:hAnsi="Tahoma" w:cs="Tahoma"/>
                <w:color w:val="000000"/>
                <w:szCs w:val="18"/>
              </w:rPr>
            </w:pPr>
            <w:r>
              <w:rPr>
                <w:rFonts w:hint="eastAsia" w:ascii="Tahoma" w:hAnsi="Tahoma" w:cs="Tahoma"/>
                <w:color w:val="000000"/>
                <w:szCs w:val="18"/>
              </w:rPr>
              <w:t>支持PAP认证、CHAP认证、EAP-MD5认证、EAP-PAP认证、EAP-TLS认证、EAP-PEAP-MSCHAPV2认证、EAP-PEAP-MD5、</w:t>
            </w:r>
            <w:r>
              <w:rPr>
                <w:rFonts w:ascii="Tahoma" w:hAnsi="Tahoma" w:cs="Tahoma"/>
                <w:color w:val="000000"/>
                <w:szCs w:val="18"/>
              </w:rPr>
              <w:t>EAP-GTC</w:t>
            </w:r>
            <w:r>
              <w:rPr>
                <w:rFonts w:hint="eastAsia" w:ascii="Tahoma" w:hAnsi="Tahoma" w:cs="Tahoma"/>
                <w:color w:val="000000"/>
                <w:szCs w:val="18"/>
              </w:rPr>
              <w:t>、</w:t>
            </w:r>
            <w:r>
              <w:rPr>
                <w:rFonts w:ascii="Tahoma" w:hAnsi="Tahoma" w:cs="Tahoma"/>
                <w:color w:val="000000"/>
                <w:szCs w:val="18"/>
              </w:rPr>
              <w:t>EAP-TTLS</w:t>
            </w:r>
            <w:r>
              <w:rPr>
                <w:rFonts w:hint="eastAsia" w:ascii="Tahoma" w:hAnsi="Tahoma" w:cs="Tahoma"/>
                <w:color w:val="000000"/>
                <w:szCs w:val="18"/>
              </w:rPr>
              <w:t>认证，防客户端破解；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宋体" w:hAnsi="宋体" w:cs="宋体"/>
                <w:kern w:val="0"/>
                <w:szCs w:val="21"/>
              </w:rPr>
              <w:t>★</w:t>
            </w:r>
            <w:r>
              <w:rPr>
                <w:rFonts w:hint="eastAsia" w:ascii="Tahoma" w:hAnsi="Tahoma" w:cs="Tahoma"/>
                <w:color w:val="000000"/>
                <w:szCs w:val="18"/>
              </w:rPr>
              <w:t>Portal认证</w:t>
            </w:r>
          </w:p>
        </w:tc>
        <w:tc>
          <w:tcPr>
            <w:tcW w:w="6946" w:type="dxa"/>
          </w:tcPr>
          <w:p>
            <w:pPr>
              <w:tabs>
                <w:tab w:val="left" w:pos="4188"/>
              </w:tabs>
              <w:jc w:val="left"/>
              <w:rPr>
                <w:rFonts w:ascii="Tahoma" w:hAnsi="Tahoma" w:cs="Tahoma"/>
                <w:color w:val="000000"/>
                <w:szCs w:val="18"/>
              </w:rPr>
            </w:pPr>
            <w:r>
              <w:rPr>
                <w:rFonts w:hint="eastAsia" w:ascii="Tahoma" w:hAnsi="Tahoma" w:cs="Tahoma"/>
                <w:color w:val="000000"/>
                <w:szCs w:val="18"/>
              </w:rPr>
              <w:t>支持纯Web认证和客户端Portal认证，客户端方式支持可溶解方式，无需安装；支持二次地址分配；Portal页面支持定制；支持IPV6纯Portal认证以及NAT环境下的Portal认证；基于不同的端口组、WLAN SSID、终端操作系统推出不同的认证页面；支持Web Portal页面可视化定制；支持无感知认证，</w:t>
            </w:r>
            <w:r>
              <w:rPr>
                <w:rFonts w:ascii="Tahoma" w:hAnsi="Tahoma" w:cs="Tahoma"/>
                <w:color w:val="000000"/>
                <w:szCs w:val="18"/>
              </w:rPr>
              <w:t>可在多台认证设备间漫游</w:t>
            </w:r>
            <w:r>
              <w:rPr>
                <w:rFonts w:hint="eastAsia" w:ascii="Tahoma" w:hAnsi="Tahoma" w:cs="Tahoma"/>
                <w:color w:val="000000"/>
                <w:szCs w:val="18"/>
              </w:rPr>
              <w:t>；</w:t>
            </w:r>
            <w:r>
              <w:rPr>
                <w:rFonts w:ascii="Tahoma" w:hAnsi="Tahoma" w:cs="Tahoma"/>
                <w:color w:val="000000"/>
                <w:szCs w:val="18"/>
              </w:rPr>
              <w:t>支持微信认证</w:t>
            </w:r>
            <w:r>
              <w:rPr>
                <w:rFonts w:hint="eastAsia" w:ascii="Tahoma" w:hAnsi="Tahoma" w:cs="Tahoma"/>
                <w:color w:val="000000"/>
                <w:szCs w:val="18"/>
              </w:rPr>
              <w:t>；支持</w:t>
            </w:r>
            <w:r>
              <w:rPr>
                <w:rFonts w:ascii="Tahoma" w:hAnsi="Tahoma" w:cs="Tahoma"/>
                <w:color w:val="000000"/>
                <w:szCs w:val="18"/>
              </w:rPr>
              <w:t>短信认证，与短信平台、短信猫对接，</w:t>
            </w:r>
            <w:r>
              <w:rPr>
                <w:rFonts w:hint="eastAsia" w:ascii="Tahoma" w:hAnsi="Tahoma" w:cs="Tahoma"/>
                <w:color w:val="000000"/>
                <w:szCs w:val="18"/>
              </w:rPr>
              <w:t>具备</w:t>
            </w:r>
            <w:r>
              <w:rPr>
                <w:rFonts w:ascii="Tahoma" w:hAnsi="Tahoma" w:cs="Tahoma"/>
                <w:color w:val="000000"/>
                <w:szCs w:val="18"/>
              </w:rPr>
              <w:t>面开发即可支持的</w:t>
            </w:r>
            <w:r>
              <w:rPr>
                <w:rFonts w:hint="eastAsia" w:ascii="Tahoma" w:hAnsi="Tahoma" w:cs="Tahoma"/>
                <w:color w:val="000000"/>
                <w:szCs w:val="18"/>
              </w:rPr>
              <w:t>短信</w:t>
            </w:r>
            <w:r>
              <w:rPr>
                <w:rFonts w:ascii="Tahoma" w:hAnsi="Tahoma" w:cs="Tahoma"/>
                <w:color w:val="000000"/>
                <w:szCs w:val="18"/>
              </w:rPr>
              <w:t>网关平台。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宋体" w:hAnsi="宋体" w:cs="宋体"/>
                <w:kern w:val="0"/>
                <w:szCs w:val="21"/>
              </w:rPr>
              <w:t>★</w:t>
            </w:r>
            <w:r>
              <w:rPr>
                <w:rFonts w:hint="eastAsia" w:ascii="Tahoma" w:hAnsi="Tahoma" w:cs="Tahoma"/>
                <w:color w:val="000000"/>
                <w:szCs w:val="18"/>
              </w:rPr>
              <w:t>访客接入权限控制</w:t>
            </w:r>
          </w:p>
        </w:tc>
        <w:tc>
          <w:tcPr>
            <w:tcW w:w="6946" w:type="dxa"/>
          </w:tcPr>
          <w:p>
            <w:pPr>
              <w:tabs>
                <w:tab w:val="left" w:pos="4188"/>
              </w:tabs>
              <w:jc w:val="left"/>
              <w:rPr>
                <w:rFonts w:ascii="Tahoma" w:hAnsi="Tahoma" w:cs="Tahoma"/>
                <w:color w:val="000000"/>
                <w:szCs w:val="18"/>
              </w:rPr>
            </w:pPr>
            <w:r>
              <w:rPr>
                <w:rFonts w:hint="eastAsia" w:ascii="Tahoma" w:hAnsi="Tahoma" w:cs="Tahoma"/>
                <w:color w:val="000000"/>
                <w:szCs w:val="18"/>
              </w:rPr>
              <w:t>支持访客账号与设备IP地址、接入端口、VLAN、用户IP地址、MAC地址、SSID等信息绑定认证，增强访客认证的安全性，防止帐号盗用和非法接入；可以控制访客的上网带宽（QoS）、访客账号有效上网时长，有效防止个别访客对网络资源的过度占用；可以实现对访客ACL、VLAN的控制，限制访客对内部敏感服务器和外部非法网站的访问；可以限制访客的接入时段和接入区域，访客只能在允许的时间和地点上网；支持访客使用一次一密方式，访客密码可设置有效时长，支持访客失效提醒；支持</w:t>
            </w:r>
            <w:r>
              <w:rPr>
                <w:rFonts w:ascii="Tahoma" w:hAnsi="Tahoma" w:cs="Tahoma"/>
                <w:color w:val="000000"/>
                <w:szCs w:val="18"/>
              </w:rPr>
              <w:t>访客管理员</w:t>
            </w:r>
            <w:r>
              <w:rPr>
                <w:rFonts w:hint="eastAsia" w:ascii="Tahoma" w:hAnsi="Tahoma" w:cs="Tahoma"/>
                <w:color w:val="000000"/>
                <w:szCs w:val="18"/>
              </w:rPr>
              <w:t>权限区分</w:t>
            </w:r>
            <w:r>
              <w:rPr>
                <w:rFonts w:ascii="Tahoma" w:hAnsi="Tahoma" w:cs="Tahoma"/>
                <w:color w:val="000000"/>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宋体" w:hAnsi="宋体" w:cs="宋体"/>
                <w:kern w:val="0"/>
                <w:szCs w:val="21"/>
              </w:rPr>
              <w:t>★</w:t>
            </w:r>
            <w:r>
              <w:rPr>
                <w:rFonts w:hint="eastAsia" w:ascii="Tahoma" w:hAnsi="Tahoma" w:cs="Tahoma"/>
                <w:color w:val="000000"/>
                <w:szCs w:val="18"/>
              </w:rPr>
              <w:t>访客行为审计</w:t>
            </w:r>
          </w:p>
        </w:tc>
        <w:tc>
          <w:tcPr>
            <w:tcW w:w="6946" w:type="dxa"/>
          </w:tcPr>
          <w:p>
            <w:pPr>
              <w:tabs>
                <w:tab w:val="left" w:pos="4188"/>
              </w:tabs>
              <w:jc w:val="left"/>
              <w:rPr>
                <w:rFonts w:ascii="Tahoma" w:hAnsi="Tahoma" w:cs="Tahoma"/>
                <w:color w:val="000000"/>
                <w:szCs w:val="18"/>
              </w:rPr>
            </w:pPr>
            <w:r>
              <w:rPr>
                <w:rFonts w:hint="eastAsia" w:ascii="Tahoma" w:hAnsi="Tahoma" w:cs="Tahoma"/>
                <w:color w:val="000000"/>
                <w:szCs w:val="18"/>
              </w:rPr>
              <w:t>提供强大的“黑名单”管理，可以将恶意猜测密码的访客加入黑名单，并可按MAC、IP地址跟踪非法行为的来源。支持管理员可以实时监控在线访客，强制非法访客下线。提供接入明细日志，便于审计访客的接入网络记录。通过与UBA用户行为审计系统联动，实现按照访客账号审计上网URL、FTP等访问日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用户集中管理</w:t>
            </w:r>
          </w:p>
        </w:tc>
        <w:tc>
          <w:tcPr>
            <w:tcW w:w="6946" w:type="dxa"/>
          </w:tcPr>
          <w:p>
            <w:pPr>
              <w:ind w:right="76"/>
              <w:jc w:val="left"/>
              <w:rPr>
                <w:rFonts w:ascii="Tahoma" w:hAnsi="Tahoma" w:cs="Tahoma"/>
                <w:color w:val="000000"/>
                <w:szCs w:val="18"/>
              </w:rPr>
            </w:pPr>
            <w:r>
              <w:rPr>
                <w:rFonts w:hint="eastAsia" w:ascii="Tahoma" w:hAnsi="Tahoma" w:cs="Tahoma"/>
                <w:color w:val="000000"/>
                <w:szCs w:val="18"/>
              </w:rPr>
              <w:t>支持对设备管理用户集中开户，支持文件导入方式开户，可批量设定设备管理用户的登录密码、授权策略、失效时间、在线数量和权限提升密码；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同步设备管理员</w:t>
            </w:r>
          </w:p>
        </w:tc>
        <w:tc>
          <w:tcPr>
            <w:tcW w:w="6946" w:type="dxa"/>
          </w:tcPr>
          <w:p>
            <w:pPr>
              <w:ind w:right="76"/>
              <w:jc w:val="left"/>
              <w:rPr>
                <w:rFonts w:ascii="Tahoma" w:hAnsi="Tahoma" w:cs="Tahoma"/>
                <w:color w:val="000000"/>
                <w:szCs w:val="18"/>
              </w:rPr>
            </w:pPr>
            <w:r>
              <w:rPr>
                <w:rFonts w:hint="eastAsia" w:ascii="Tahoma" w:hAnsi="Tahoma" w:cs="Tahoma"/>
                <w:color w:val="000000"/>
                <w:szCs w:val="18"/>
              </w:rPr>
              <w:t>支持从外部数据源（</w:t>
            </w:r>
            <w:r>
              <w:rPr>
                <w:rFonts w:ascii="Tahoma" w:hAnsi="Tahoma" w:cs="Tahoma"/>
                <w:color w:val="000000"/>
                <w:szCs w:val="18"/>
              </w:rPr>
              <w:t>LDAP</w:t>
            </w:r>
            <w:r>
              <w:rPr>
                <w:rFonts w:hint="eastAsia" w:ascii="Tahoma" w:hAnsi="Tahoma" w:cs="Tahoma"/>
                <w:color w:val="000000"/>
                <w:szCs w:val="18"/>
              </w:rPr>
              <w:t>）服务器中同步设备管理用户信息，支持按需同步、</w:t>
            </w:r>
            <w:r>
              <w:rPr>
                <w:rFonts w:ascii="Tahoma" w:hAnsi="Tahoma" w:cs="Tahoma"/>
                <w:color w:val="000000"/>
                <w:szCs w:val="18"/>
              </w:rPr>
              <w:t>LDAP</w:t>
            </w:r>
            <w:r>
              <w:rPr>
                <w:rFonts w:hint="eastAsia" w:ascii="Tahoma" w:hAnsi="Tahoma" w:cs="Tahoma"/>
                <w:color w:val="000000"/>
                <w:szCs w:val="18"/>
              </w:rPr>
              <w:t>用户实时认证；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基于场景的授权策略</w:t>
            </w:r>
          </w:p>
        </w:tc>
        <w:tc>
          <w:tcPr>
            <w:tcW w:w="6946" w:type="dxa"/>
          </w:tcPr>
          <w:p>
            <w:pPr>
              <w:ind w:right="76"/>
              <w:jc w:val="left"/>
              <w:rPr>
                <w:rFonts w:ascii="Tahoma" w:hAnsi="Tahoma" w:cs="Tahoma"/>
                <w:color w:val="000000"/>
                <w:szCs w:val="18"/>
              </w:rPr>
            </w:pPr>
            <w:r>
              <w:rPr>
                <w:rFonts w:hint="eastAsia" w:ascii="Tahoma" w:hAnsi="Tahoma" w:cs="Tahoma"/>
                <w:color w:val="000000"/>
                <w:szCs w:val="18"/>
              </w:rPr>
              <w:t>支持按场景分配授权策略，场景是设备位置区域、设备类型和接入时段的组合，可定义在不同场景下设备管理用户所使用的</w:t>
            </w:r>
            <w:r>
              <w:rPr>
                <w:rFonts w:ascii="Tahoma" w:hAnsi="Tahoma" w:cs="Tahoma"/>
                <w:color w:val="000000"/>
                <w:szCs w:val="18"/>
              </w:rPr>
              <w:t>Shell Profile</w:t>
            </w:r>
            <w:r>
              <w:rPr>
                <w:rFonts w:hint="eastAsia" w:ascii="Tahoma" w:hAnsi="Tahoma" w:cs="Tahoma"/>
                <w:color w:val="000000"/>
                <w:szCs w:val="18"/>
              </w:rPr>
              <w:t>和操作命令集。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接入时段控制</w:t>
            </w:r>
          </w:p>
        </w:tc>
        <w:tc>
          <w:tcPr>
            <w:tcW w:w="6946" w:type="dxa"/>
          </w:tcPr>
          <w:p>
            <w:pPr>
              <w:ind w:right="76"/>
              <w:jc w:val="left"/>
              <w:rPr>
                <w:rFonts w:ascii="Tahoma" w:hAnsi="Tahoma" w:cs="Tahoma"/>
                <w:color w:val="000000"/>
                <w:szCs w:val="18"/>
              </w:rPr>
            </w:pPr>
            <w:r>
              <w:rPr>
                <w:rFonts w:hint="eastAsia" w:ascii="Tahoma" w:hAnsi="Tahoma" w:cs="Tahoma"/>
                <w:color w:val="000000"/>
                <w:szCs w:val="18"/>
              </w:rPr>
              <w:t>支持按固定时段、年</w:t>
            </w:r>
            <w:r>
              <w:rPr>
                <w:rFonts w:ascii="Tahoma" w:hAnsi="Tahoma" w:cs="Tahoma"/>
                <w:color w:val="000000"/>
                <w:szCs w:val="18"/>
              </w:rPr>
              <w:t>/</w:t>
            </w:r>
            <w:r>
              <w:rPr>
                <w:rFonts w:hint="eastAsia" w:ascii="Tahoma" w:hAnsi="Tahoma" w:cs="Tahoma"/>
                <w:color w:val="000000"/>
                <w:szCs w:val="18"/>
              </w:rPr>
              <w:t>月</w:t>
            </w:r>
            <w:r>
              <w:rPr>
                <w:rFonts w:ascii="Tahoma" w:hAnsi="Tahoma" w:cs="Tahoma"/>
                <w:color w:val="000000"/>
                <w:szCs w:val="18"/>
              </w:rPr>
              <w:t>/</w:t>
            </w:r>
            <w:r>
              <w:rPr>
                <w:rFonts w:hint="eastAsia" w:ascii="Tahoma" w:hAnsi="Tahoma" w:cs="Tahoma"/>
                <w:color w:val="000000"/>
                <w:szCs w:val="18"/>
              </w:rPr>
              <w:t>周</w:t>
            </w:r>
            <w:r>
              <w:rPr>
                <w:rFonts w:ascii="Tahoma" w:hAnsi="Tahoma" w:cs="Tahoma"/>
                <w:color w:val="000000"/>
                <w:szCs w:val="18"/>
              </w:rPr>
              <w:t>/</w:t>
            </w:r>
            <w:r>
              <w:rPr>
                <w:rFonts w:hint="eastAsia" w:ascii="Tahoma" w:hAnsi="Tahoma" w:cs="Tahoma"/>
                <w:color w:val="000000"/>
                <w:szCs w:val="18"/>
              </w:rPr>
              <w:t>日为周期的接入时段配置，控制设备管理用户的登录设备各时间段的权限。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精细化配置</w:t>
            </w:r>
          </w:p>
        </w:tc>
        <w:tc>
          <w:tcPr>
            <w:tcW w:w="6946" w:type="dxa"/>
          </w:tcPr>
          <w:p>
            <w:pPr>
              <w:ind w:right="76"/>
              <w:jc w:val="left"/>
              <w:rPr>
                <w:rFonts w:ascii="Tahoma" w:hAnsi="Tahoma" w:cs="Tahoma"/>
                <w:color w:val="000000"/>
                <w:szCs w:val="18"/>
              </w:rPr>
            </w:pPr>
            <w:r>
              <w:rPr>
                <w:rFonts w:hint="eastAsia" w:ascii="Tahoma" w:hAnsi="Tahoma" w:cs="Tahoma"/>
                <w:color w:val="000000"/>
                <w:szCs w:val="18"/>
              </w:rPr>
              <w:t>支持</w:t>
            </w:r>
            <w:r>
              <w:rPr>
                <w:rFonts w:ascii="Tahoma" w:hAnsi="Tahoma" w:cs="Tahoma"/>
                <w:color w:val="000000"/>
                <w:szCs w:val="18"/>
              </w:rPr>
              <w:t>Shell Profile</w:t>
            </w:r>
            <w:r>
              <w:rPr>
                <w:rFonts w:hint="eastAsia" w:ascii="Tahoma" w:hAnsi="Tahoma" w:cs="Tahoma"/>
                <w:color w:val="000000"/>
                <w:szCs w:val="18"/>
              </w:rPr>
              <w:t>精细化配置，定义设备管理用户登录设备时的全局属性，包括权限级别、接入</w:t>
            </w:r>
            <w:r>
              <w:rPr>
                <w:rFonts w:ascii="Tahoma" w:hAnsi="Tahoma" w:cs="Tahoma"/>
                <w:color w:val="000000"/>
                <w:szCs w:val="18"/>
              </w:rPr>
              <w:t>ACL</w:t>
            </w:r>
            <w:r>
              <w:rPr>
                <w:rFonts w:hint="eastAsia" w:ascii="Tahoma" w:hAnsi="Tahoma" w:cs="Tahoma"/>
                <w:color w:val="000000"/>
                <w:szCs w:val="18"/>
              </w:rPr>
              <w:t>、限制时长等。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命令集精细化配置</w:t>
            </w:r>
          </w:p>
        </w:tc>
        <w:tc>
          <w:tcPr>
            <w:tcW w:w="6946" w:type="dxa"/>
          </w:tcPr>
          <w:p>
            <w:pPr>
              <w:ind w:right="76"/>
              <w:jc w:val="left"/>
              <w:rPr>
                <w:rFonts w:ascii="Tahoma" w:hAnsi="Tahoma" w:cs="Tahoma"/>
                <w:color w:val="000000"/>
                <w:szCs w:val="18"/>
              </w:rPr>
            </w:pPr>
            <w:r>
              <w:rPr>
                <w:rFonts w:hint="eastAsia" w:ascii="Tahoma" w:hAnsi="Tahoma" w:cs="Tahoma"/>
                <w:color w:val="000000"/>
                <w:szCs w:val="18"/>
              </w:rPr>
              <w:t>支持命令集精细化配置，定义设备管理用户登录设备时的可执行的命令集合。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宋体" w:hAnsi="宋体" w:cs="宋体"/>
                <w:kern w:val="0"/>
                <w:szCs w:val="21"/>
              </w:rPr>
              <w:t>★</w:t>
            </w:r>
            <w:r>
              <w:rPr>
                <w:rFonts w:hint="eastAsia" w:ascii="Tahoma" w:hAnsi="Tahoma" w:cs="Tahoma"/>
                <w:color w:val="000000"/>
                <w:szCs w:val="18"/>
              </w:rPr>
              <w:t>管理员认证日志</w:t>
            </w:r>
          </w:p>
        </w:tc>
        <w:tc>
          <w:tcPr>
            <w:tcW w:w="6946" w:type="dxa"/>
          </w:tcPr>
          <w:p>
            <w:pPr>
              <w:ind w:right="76"/>
              <w:jc w:val="left"/>
              <w:rPr>
                <w:rFonts w:ascii="Tahoma" w:hAnsi="Tahoma" w:cs="Tahoma"/>
                <w:color w:val="000000"/>
                <w:szCs w:val="18"/>
              </w:rPr>
            </w:pPr>
            <w:r>
              <w:rPr>
                <w:rFonts w:hint="eastAsia" w:ascii="Tahoma" w:hAnsi="Tahoma" w:cs="Tahoma"/>
                <w:color w:val="000000"/>
                <w:szCs w:val="18"/>
              </w:rPr>
              <w:t>记录设备管理用户登录设备成功或失败信息，包括登录名、登录结果（失败原因）、认证时间、登录设备</w:t>
            </w:r>
            <w:r>
              <w:rPr>
                <w:rFonts w:ascii="Tahoma" w:hAnsi="Tahoma" w:cs="Tahoma"/>
                <w:color w:val="000000"/>
                <w:szCs w:val="18"/>
              </w:rPr>
              <w:t>IP</w:t>
            </w:r>
            <w:r>
              <w:rPr>
                <w:rFonts w:hint="eastAsia" w:ascii="Tahoma" w:hAnsi="Tahoma" w:cs="Tahoma"/>
                <w:color w:val="000000"/>
                <w:szCs w:val="18"/>
              </w:rPr>
              <w:t>、终端用户</w:t>
            </w:r>
            <w:r>
              <w:rPr>
                <w:rFonts w:ascii="Tahoma" w:hAnsi="Tahoma" w:cs="Tahoma"/>
                <w:color w:val="000000"/>
                <w:szCs w:val="18"/>
              </w:rPr>
              <w:t>IP</w:t>
            </w:r>
            <w:r>
              <w:rPr>
                <w:rFonts w:hint="eastAsia" w:ascii="Tahoma" w:hAnsi="Tahoma" w:cs="Tahoma"/>
                <w:color w:val="000000"/>
                <w:szCs w:val="18"/>
              </w:rPr>
              <w:t>、权限级别、登录动作、认证类型、服务类型等。认证日志可以导出到文本文件和</w:t>
            </w:r>
            <w:r>
              <w:rPr>
                <w:rFonts w:ascii="Tahoma" w:hAnsi="Tahoma" w:cs="Tahoma"/>
                <w:color w:val="000000"/>
                <w:szCs w:val="18"/>
              </w:rPr>
              <w:t>CSV</w:t>
            </w:r>
            <w:r>
              <w:rPr>
                <w:rFonts w:hint="eastAsia" w:ascii="Tahoma" w:hAnsi="Tahoma" w:cs="Tahoma"/>
                <w:color w:val="000000"/>
                <w:szCs w:val="18"/>
              </w:rPr>
              <w:t>表格中。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管理员授权日志</w:t>
            </w:r>
          </w:p>
        </w:tc>
        <w:tc>
          <w:tcPr>
            <w:tcW w:w="6946" w:type="dxa"/>
          </w:tcPr>
          <w:p>
            <w:pPr>
              <w:ind w:right="76"/>
              <w:jc w:val="left"/>
              <w:rPr>
                <w:rFonts w:ascii="Tahoma" w:hAnsi="Tahoma" w:cs="Tahoma"/>
                <w:color w:val="000000"/>
                <w:szCs w:val="18"/>
              </w:rPr>
            </w:pPr>
            <w:r>
              <w:rPr>
                <w:rFonts w:hint="eastAsia" w:ascii="Tahoma" w:hAnsi="Tahoma" w:cs="Tahoma"/>
                <w:color w:val="000000"/>
                <w:szCs w:val="18"/>
              </w:rPr>
              <w:t>授权行为包括登录授权和命令行授权，服务器会在设备管理用户登录成功或执行每一条命令时，判断该用户是否拥有执行命令的权限，并记录命令行授权日志。授权日志可以导出到文本文件和</w:t>
            </w:r>
            <w:r>
              <w:rPr>
                <w:rFonts w:ascii="Tahoma" w:hAnsi="Tahoma" w:cs="Tahoma"/>
                <w:color w:val="000000"/>
                <w:szCs w:val="18"/>
              </w:rPr>
              <w:t>CSV</w:t>
            </w:r>
            <w:r>
              <w:rPr>
                <w:rFonts w:hint="eastAsia" w:ascii="Tahoma" w:hAnsi="Tahoma" w:cs="Tahoma"/>
                <w:color w:val="000000"/>
                <w:szCs w:val="18"/>
              </w:rPr>
              <w:t>表格中。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宋体" w:hAnsi="宋体" w:cs="宋体"/>
                <w:kern w:val="0"/>
                <w:szCs w:val="21"/>
              </w:rPr>
              <w:t>★</w:t>
            </w:r>
            <w:r>
              <w:rPr>
                <w:rFonts w:hint="eastAsia" w:ascii="Tahoma" w:hAnsi="Tahoma" w:cs="Tahoma"/>
                <w:color w:val="000000"/>
                <w:szCs w:val="18"/>
              </w:rPr>
              <w:t>管理用户行为审计日志</w:t>
            </w:r>
          </w:p>
        </w:tc>
        <w:tc>
          <w:tcPr>
            <w:tcW w:w="6946" w:type="dxa"/>
          </w:tcPr>
          <w:p>
            <w:pPr>
              <w:ind w:right="76"/>
              <w:jc w:val="left"/>
              <w:rPr>
                <w:rFonts w:ascii="Tahoma" w:hAnsi="Tahoma" w:cs="Tahoma"/>
                <w:color w:val="000000"/>
                <w:szCs w:val="18"/>
              </w:rPr>
            </w:pPr>
            <w:r>
              <w:rPr>
                <w:rFonts w:hint="eastAsia" w:ascii="Tahoma" w:hAnsi="Tahoma" w:cs="Tahoma"/>
                <w:color w:val="000000"/>
                <w:szCs w:val="18"/>
              </w:rPr>
              <w:t>服务器记录用户登录、登出设备以及各种行为日志，审计日志内容包括：登录名、审计类型、审计时间、设备</w:t>
            </w:r>
            <w:r>
              <w:rPr>
                <w:rFonts w:ascii="Tahoma" w:hAnsi="Tahoma" w:cs="Tahoma"/>
                <w:color w:val="000000"/>
                <w:szCs w:val="18"/>
              </w:rPr>
              <w:t>IP</w:t>
            </w:r>
            <w:r>
              <w:rPr>
                <w:rFonts w:hint="eastAsia" w:ascii="Tahoma" w:hAnsi="Tahoma" w:cs="Tahoma"/>
                <w:color w:val="000000"/>
                <w:szCs w:val="18"/>
              </w:rPr>
              <w:t>、终端用户</w:t>
            </w:r>
            <w:r>
              <w:rPr>
                <w:rFonts w:ascii="Tahoma" w:hAnsi="Tahoma" w:cs="Tahoma"/>
                <w:color w:val="000000"/>
                <w:szCs w:val="18"/>
              </w:rPr>
              <w:t>IP</w:t>
            </w:r>
            <w:r>
              <w:rPr>
                <w:rFonts w:hint="eastAsia" w:ascii="Tahoma" w:hAnsi="Tahoma" w:cs="Tahoma"/>
                <w:color w:val="000000"/>
                <w:szCs w:val="18"/>
              </w:rPr>
              <w:t>、命令行等。用户行为审计日志可以导出到文本文件和</w:t>
            </w:r>
            <w:r>
              <w:rPr>
                <w:rFonts w:ascii="Tahoma" w:hAnsi="Tahoma" w:cs="Tahoma"/>
                <w:color w:val="000000"/>
                <w:szCs w:val="18"/>
              </w:rPr>
              <w:t>CSV</w:t>
            </w:r>
            <w:r>
              <w:rPr>
                <w:rFonts w:hint="eastAsia" w:ascii="Tahoma" w:hAnsi="Tahoma" w:cs="Tahoma"/>
                <w:color w:val="000000"/>
                <w:szCs w:val="18"/>
              </w:rPr>
              <w:t>表格中。</w:t>
            </w:r>
            <w:r>
              <w:rPr>
                <w:rFonts w:ascii="Tahoma" w:hAnsi="Tahoma" w:cs="Tahoma"/>
                <w:color w:val="000000"/>
                <w:szCs w:val="18"/>
              </w:rPr>
              <w:sym w:font="Tahoma" w:char="F075"/>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“黑名单”管理</w:t>
            </w:r>
          </w:p>
        </w:tc>
        <w:tc>
          <w:tcPr>
            <w:tcW w:w="6946" w:type="dxa"/>
          </w:tcPr>
          <w:p>
            <w:pPr>
              <w:ind w:right="76"/>
              <w:jc w:val="left"/>
              <w:rPr>
                <w:rFonts w:ascii="Tahoma" w:hAnsi="Tahoma" w:cs="Tahoma"/>
                <w:color w:val="000000"/>
                <w:szCs w:val="18"/>
              </w:rPr>
            </w:pPr>
            <w:r>
              <w:rPr>
                <w:rFonts w:hint="eastAsia" w:ascii="Tahoma" w:hAnsi="Tahoma" w:cs="Tahoma"/>
                <w:color w:val="000000"/>
                <w:szCs w:val="18"/>
              </w:rPr>
              <w:t>可以自动将恶意猜测密码的用户加入黑名单或由手工将非法用户加入黑名单予以隔离。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tcPr>
          <w:p>
            <w:pPr>
              <w:rPr>
                <w:rFonts w:ascii="Tahoma" w:hAnsi="Tahoma" w:cs="Tahoma"/>
                <w:color w:val="000000"/>
                <w:szCs w:val="18"/>
              </w:rPr>
            </w:pPr>
            <w:r>
              <w:rPr>
                <w:rFonts w:hint="eastAsia" w:ascii="Tahoma" w:hAnsi="Tahoma" w:cs="Tahoma"/>
                <w:color w:val="000000"/>
                <w:szCs w:val="18"/>
              </w:rPr>
              <w:t>分布式安装</w:t>
            </w:r>
          </w:p>
        </w:tc>
        <w:tc>
          <w:tcPr>
            <w:tcW w:w="6946" w:type="dxa"/>
          </w:tcPr>
          <w:p>
            <w:pPr>
              <w:tabs>
                <w:tab w:val="left" w:pos="4188"/>
              </w:tabs>
              <w:jc w:val="left"/>
              <w:rPr>
                <w:rFonts w:ascii="Tahoma" w:hAnsi="Tahoma" w:cs="Tahoma"/>
                <w:color w:val="000000"/>
                <w:szCs w:val="18"/>
              </w:rPr>
            </w:pPr>
            <w:r>
              <w:rPr>
                <w:rFonts w:hint="eastAsia" w:ascii="Tahoma" w:hAnsi="Tahoma" w:cs="Tahoma"/>
                <w:color w:val="000000"/>
                <w:szCs w:val="18"/>
              </w:rPr>
              <w:t>通过通过多台网流服务器分布式安装。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vAlign w:val="bottom"/>
          </w:tcPr>
          <w:p>
            <w:r>
              <w:rPr>
                <w:rFonts w:hint="eastAsia" w:ascii="宋体" w:hAnsi="宋体" w:cs="宋体"/>
                <w:kern w:val="0"/>
                <w:szCs w:val="21"/>
              </w:rPr>
              <w:t>★</w:t>
            </w:r>
            <w:r>
              <w:rPr>
                <w:rFonts w:hint="eastAsia"/>
              </w:rPr>
              <w:t>业务联动控制</w:t>
            </w:r>
          </w:p>
        </w:tc>
        <w:tc>
          <w:tcPr>
            <w:tcW w:w="6946" w:type="dxa"/>
            <w:vAlign w:val="bottom"/>
          </w:tcPr>
          <w:p>
            <w:r>
              <w:rPr>
                <w:rFonts w:hint="eastAsia"/>
              </w:rPr>
              <w:t>根据预定义的联动策略对匹配的事件（Trap）执行联动控制；支持各类安全威胁的分析和联动（支持防火墙、IPS、交换机、终端软件等上报信息的分析）；并支持在拓扑中显示攻击路径、攻击源等节点信息。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vAlign w:val="bottom"/>
          </w:tcPr>
          <w:p>
            <w:r>
              <w:rPr>
                <w:rFonts w:hint="eastAsia" w:ascii="宋体" w:hAnsi="宋体" w:cs="宋体"/>
                <w:kern w:val="0"/>
                <w:szCs w:val="21"/>
              </w:rPr>
              <w:t>★</w:t>
            </w:r>
            <w:r>
              <w:rPr>
                <w:rFonts w:hint="eastAsia"/>
              </w:rPr>
              <w:t>告警根源分析和关联分析</w:t>
            </w:r>
          </w:p>
        </w:tc>
        <w:tc>
          <w:tcPr>
            <w:tcW w:w="6946" w:type="dxa"/>
            <w:vAlign w:val="bottom"/>
          </w:tcPr>
          <w:p>
            <w:r>
              <w:rPr>
                <w:rFonts w:hint="eastAsia"/>
              </w:rPr>
              <w:t>分析多告警关系，找到根源告警及兄弟告警（结合CMDB告警根因分析功能更深入）。并提供关联分析，分析和当前告警相关的告警，可自定义配置分析的维度和时间窗进行手动分析。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vAlign w:val="bottom"/>
          </w:tcPr>
          <w:p>
            <w:pPr>
              <w:rPr>
                <w:rFonts w:hint="eastAsia" w:ascii="宋体" w:hAnsi="宋体" w:cs="宋体"/>
                <w:kern w:val="0"/>
                <w:szCs w:val="21"/>
              </w:rPr>
            </w:pPr>
            <w:r>
              <w:rPr>
                <w:rFonts w:hint="eastAsia" w:ascii="宋体" w:hAnsi="宋体" w:cs="宋体"/>
                <w:kern w:val="0"/>
                <w:szCs w:val="21"/>
              </w:rPr>
              <w:t>★</w:t>
            </w:r>
            <w:r>
              <w:rPr>
                <w:rFonts w:hint="eastAsia"/>
              </w:rPr>
              <w:t>配置要求</w:t>
            </w:r>
          </w:p>
        </w:tc>
        <w:tc>
          <w:tcPr>
            <w:tcW w:w="6946" w:type="dxa"/>
            <w:vAlign w:val="bottom"/>
          </w:tcPr>
          <w:p>
            <w:pPr>
              <w:rPr>
                <w:rFonts w:hint="eastAsia"/>
              </w:rPr>
            </w:pPr>
            <w:r>
              <w:rPr>
                <w:rFonts w:hint="eastAsia"/>
              </w:rPr>
              <w:t>配置终端准入软件授权2000个认证节点认证，及</w:t>
            </w:r>
            <w:r>
              <w:t>相</w:t>
            </w:r>
            <w:r>
              <w:rPr>
                <w:rFonts w:hint="eastAsia"/>
              </w:rPr>
              <w:t>对应的流量</w:t>
            </w:r>
            <w:r>
              <w:t>分析软件</w:t>
            </w:r>
            <w:r>
              <w:rPr>
                <w:rFonts w:hint="eastAsia"/>
              </w:rPr>
              <w:t>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7" w:type="dxa"/>
            <w:vAlign w:val="bottom"/>
          </w:tcPr>
          <w:p>
            <w:r>
              <w:rPr>
                <w:rFonts w:hint="eastAsia" w:ascii="宋体" w:hAnsi="宋体" w:cs="宋体"/>
                <w:kern w:val="0"/>
                <w:szCs w:val="21"/>
              </w:rPr>
              <w:t>★原厂服务</w:t>
            </w:r>
          </w:p>
        </w:tc>
        <w:tc>
          <w:tcPr>
            <w:tcW w:w="6946" w:type="dxa"/>
            <w:vAlign w:val="bottom"/>
          </w:tcPr>
          <w:p>
            <w:pPr>
              <w:rPr>
                <w:rFonts w:hint="eastAsia"/>
              </w:rPr>
            </w:pPr>
            <w:r>
              <w:rPr>
                <w:rFonts w:hint="eastAsia"/>
              </w:rPr>
              <w:t>提供原厂售后服务承诺书原件。</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A6634"/>
    <w:multiLevelType w:val="multilevel"/>
    <w:tmpl w:val="20EA6634"/>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8"/>
      <w:lvlText w:val="%1.%2.%3.%4.%5"/>
      <w:lvlJc w:val="left"/>
      <w:pPr>
        <w:ind w:left="1008" w:hanging="1008"/>
      </w:pPr>
    </w:lvl>
    <w:lvl w:ilvl="5" w:tentative="0">
      <w:start w:val="1"/>
      <w:numFmt w:val="decimal"/>
      <w:pStyle w:val="9"/>
      <w:lvlText w:val="%1.%2.%3.%4.%5.%6"/>
      <w:lvlJc w:val="left"/>
      <w:pPr>
        <w:ind w:left="1152" w:hanging="1152"/>
      </w:pPr>
    </w:lvl>
    <w:lvl w:ilvl="6" w:tentative="0">
      <w:start w:val="1"/>
      <w:numFmt w:val="decimal"/>
      <w:pStyle w:val="10"/>
      <w:lvlText w:val="%1.%2.%3.%4.%5.%6.%7"/>
      <w:lvlJc w:val="left"/>
      <w:pPr>
        <w:ind w:left="1296" w:hanging="1296"/>
      </w:pPr>
    </w:lvl>
    <w:lvl w:ilvl="7" w:tentative="0">
      <w:start w:val="1"/>
      <w:numFmt w:val="decimal"/>
      <w:pStyle w:val="11"/>
      <w:lvlText w:val="%1.%2.%3.%4.%5.%6.%7.%8"/>
      <w:lvlJc w:val="left"/>
      <w:pPr>
        <w:ind w:left="1440" w:hanging="1440"/>
      </w:pPr>
    </w:lvl>
    <w:lvl w:ilvl="8" w:tentative="0">
      <w:start w:val="1"/>
      <w:numFmt w:val="decimal"/>
      <w:pStyle w:val="12"/>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861"/>
    <w:rsid w:val="000B103D"/>
    <w:rsid w:val="000D4C5D"/>
    <w:rsid w:val="000E5CB1"/>
    <w:rsid w:val="00180DD5"/>
    <w:rsid w:val="0019394F"/>
    <w:rsid w:val="00270AE7"/>
    <w:rsid w:val="002C072C"/>
    <w:rsid w:val="00471404"/>
    <w:rsid w:val="0052242D"/>
    <w:rsid w:val="005434AF"/>
    <w:rsid w:val="00556C18"/>
    <w:rsid w:val="006610A1"/>
    <w:rsid w:val="007161CF"/>
    <w:rsid w:val="00720B73"/>
    <w:rsid w:val="00853691"/>
    <w:rsid w:val="008A5014"/>
    <w:rsid w:val="0092104C"/>
    <w:rsid w:val="00963FC5"/>
    <w:rsid w:val="009B2F81"/>
    <w:rsid w:val="00AB40CA"/>
    <w:rsid w:val="00B0128C"/>
    <w:rsid w:val="00BE7BC7"/>
    <w:rsid w:val="00C92763"/>
    <w:rsid w:val="00CF6B8D"/>
    <w:rsid w:val="00D82321"/>
    <w:rsid w:val="00D84861"/>
    <w:rsid w:val="00D87D03"/>
    <w:rsid w:val="00DF20E3"/>
    <w:rsid w:val="00DF7E8F"/>
    <w:rsid w:val="00E76579"/>
    <w:rsid w:val="00EB4EA8"/>
    <w:rsid w:val="00ED763E"/>
    <w:rsid w:val="00EF05E8"/>
    <w:rsid w:val="00F00E6F"/>
    <w:rsid w:val="3E6A258B"/>
    <w:rsid w:val="43887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0"/>
    <w:pPr>
      <w:keepNext/>
      <w:keepLines/>
      <w:numPr>
        <w:ilvl w:val="0"/>
        <w:numId w:val="1"/>
      </w:numPr>
      <w:tabs>
        <w:tab w:val="left" w:pos="432"/>
      </w:tab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22"/>
    <w:qFormat/>
    <w:uiPriority w:val="0"/>
    <w:pPr>
      <w:keepNext/>
      <w:keepLines/>
      <w:numPr>
        <w:ilvl w:val="1"/>
        <w:numId w:val="1"/>
      </w:numPr>
      <w:tabs>
        <w:tab w:val="left" w:pos="432"/>
        <w:tab w:val="left" w:pos="1144"/>
      </w:tabs>
      <w:spacing w:before="260" w:after="260" w:line="416" w:lineRule="auto"/>
      <w:outlineLvl w:val="1"/>
    </w:pPr>
    <w:rPr>
      <w:rFonts w:ascii="Arial" w:hAnsi="Arial" w:eastAsia="黑体" w:cs="Times New Roman"/>
      <w:b/>
      <w:bCs/>
      <w:sz w:val="32"/>
      <w:szCs w:val="32"/>
    </w:rPr>
  </w:style>
  <w:style w:type="paragraph" w:styleId="4">
    <w:name w:val="heading 3"/>
    <w:basedOn w:val="1"/>
    <w:next w:val="1"/>
    <w:link w:val="23"/>
    <w:unhideWhenUsed/>
    <w:qFormat/>
    <w:uiPriority w:val="0"/>
    <w:pPr>
      <w:keepNext/>
      <w:keepLines/>
      <w:numPr>
        <w:ilvl w:val="2"/>
        <w:numId w:val="1"/>
      </w:numPr>
      <w:spacing w:before="260" w:after="260" w:line="416" w:lineRule="auto"/>
      <w:outlineLvl w:val="2"/>
    </w:pPr>
    <w:rPr>
      <w:rFonts w:ascii="Times New Roman" w:hAnsi="Times New Roman" w:eastAsia="宋体" w:cs="Times New Roman"/>
      <w:b/>
      <w:bCs/>
      <w:sz w:val="32"/>
      <w:szCs w:val="32"/>
    </w:rPr>
  </w:style>
  <w:style w:type="paragraph" w:styleId="5">
    <w:name w:val="heading 4"/>
    <w:basedOn w:val="6"/>
    <w:next w:val="7"/>
    <w:link w:val="24"/>
    <w:qFormat/>
    <w:uiPriority w:val="0"/>
    <w:pPr>
      <w:keepNext/>
      <w:keepLines/>
      <w:numPr>
        <w:ilvl w:val="3"/>
        <w:numId w:val="1"/>
      </w:numPr>
      <w:tabs>
        <w:tab w:val="left" w:pos="864"/>
      </w:tabs>
      <w:adjustRightInd w:val="0"/>
      <w:snapToGrid w:val="0"/>
      <w:spacing w:after="120" w:line="300" w:lineRule="auto"/>
      <w:ind w:left="0" w:leftChars="0" w:firstLine="0"/>
      <w:outlineLvl w:val="3"/>
    </w:pPr>
    <w:rPr>
      <w:rFonts w:ascii="Times New Roman" w:hAnsi="Times New Roman" w:eastAsia="黑体" w:cs="Times New Roman"/>
      <w:sz w:val="24"/>
      <w:szCs w:val="20"/>
    </w:rPr>
  </w:style>
  <w:style w:type="paragraph" w:styleId="8">
    <w:name w:val="heading 5"/>
    <w:basedOn w:val="1"/>
    <w:next w:val="7"/>
    <w:link w:val="25"/>
    <w:qFormat/>
    <w:uiPriority w:val="0"/>
    <w:pPr>
      <w:keepNext/>
      <w:keepLines/>
      <w:numPr>
        <w:ilvl w:val="4"/>
        <w:numId w:val="1"/>
      </w:numPr>
      <w:tabs>
        <w:tab w:val="left" w:pos="1008"/>
      </w:tabs>
      <w:adjustRightInd w:val="0"/>
      <w:snapToGrid w:val="0"/>
      <w:spacing w:line="300" w:lineRule="auto"/>
      <w:outlineLvl w:val="4"/>
    </w:pPr>
    <w:rPr>
      <w:rFonts w:ascii="Times New Roman" w:hAnsi="Times New Roman" w:eastAsia="黑体" w:cs="Times New Roman"/>
      <w:sz w:val="24"/>
      <w:szCs w:val="20"/>
    </w:rPr>
  </w:style>
  <w:style w:type="paragraph" w:styleId="9">
    <w:name w:val="heading 6"/>
    <w:basedOn w:val="1"/>
    <w:next w:val="7"/>
    <w:link w:val="26"/>
    <w:qFormat/>
    <w:uiPriority w:val="0"/>
    <w:pPr>
      <w:keepNext/>
      <w:keepLines/>
      <w:numPr>
        <w:ilvl w:val="5"/>
        <w:numId w:val="1"/>
      </w:numPr>
      <w:tabs>
        <w:tab w:val="left" w:pos="1152"/>
      </w:tabs>
      <w:spacing w:line="319" w:lineRule="auto"/>
      <w:outlineLvl w:val="5"/>
    </w:pPr>
    <w:rPr>
      <w:rFonts w:ascii="Times New Roman" w:hAnsi="Times New Roman" w:eastAsia="宋体" w:cs="Times New Roman"/>
      <w:sz w:val="24"/>
      <w:szCs w:val="20"/>
    </w:rPr>
  </w:style>
  <w:style w:type="paragraph" w:styleId="10">
    <w:name w:val="heading 7"/>
    <w:basedOn w:val="1"/>
    <w:next w:val="1"/>
    <w:link w:val="27"/>
    <w:qFormat/>
    <w:uiPriority w:val="0"/>
    <w:pPr>
      <w:numPr>
        <w:ilvl w:val="6"/>
        <w:numId w:val="1"/>
      </w:numPr>
      <w:tabs>
        <w:tab w:val="left" w:pos="1296"/>
      </w:tabs>
      <w:adjustRightInd w:val="0"/>
      <w:spacing w:line="288" w:lineRule="auto"/>
      <w:textAlignment w:val="baseline"/>
      <w:outlineLvl w:val="6"/>
    </w:pPr>
    <w:rPr>
      <w:rFonts w:ascii="Times New Roman" w:hAnsi="Times New Roman" w:eastAsia="宋体" w:cs="Times New Roman"/>
      <w:kern w:val="0"/>
      <w:sz w:val="24"/>
      <w:szCs w:val="20"/>
    </w:rPr>
  </w:style>
  <w:style w:type="paragraph" w:styleId="11">
    <w:name w:val="heading 8"/>
    <w:basedOn w:val="1"/>
    <w:next w:val="1"/>
    <w:link w:val="28"/>
    <w:qFormat/>
    <w:uiPriority w:val="0"/>
    <w:pPr>
      <w:keepNext/>
      <w:keepLines/>
      <w:numPr>
        <w:ilvl w:val="7"/>
        <w:numId w:val="1"/>
      </w:numPr>
      <w:tabs>
        <w:tab w:val="left" w:pos="1440"/>
      </w:tabs>
      <w:adjustRightInd w:val="0"/>
      <w:spacing w:before="240" w:after="64" w:line="320" w:lineRule="atLeast"/>
      <w:textAlignment w:val="baseline"/>
      <w:outlineLvl w:val="7"/>
    </w:pPr>
    <w:rPr>
      <w:rFonts w:ascii="Arial" w:hAnsi="Arial" w:eastAsia="宋体" w:cs="Times New Roman"/>
      <w:kern w:val="0"/>
      <w:sz w:val="24"/>
      <w:szCs w:val="20"/>
    </w:rPr>
  </w:style>
  <w:style w:type="paragraph" w:styleId="12">
    <w:name w:val="heading 9"/>
    <w:basedOn w:val="1"/>
    <w:next w:val="1"/>
    <w:link w:val="29"/>
    <w:qFormat/>
    <w:uiPriority w:val="0"/>
    <w:pPr>
      <w:keepNext/>
      <w:keepLines/>
      <w:numPr>
        <w:ilvl w:val="8"/>
        <w:numId w:val="1"/>
      </w:numPr>
      <w:tabs>
        <w:tab w:val="left" w:pos="1584"/>
      </w:tabs>
      <w:adjustRightInd w:val="0"/>
      <w:spacing w:before="240" w:after="64" w:line="320" w:lineRule="atLeast"/>
      <w:textAlignment w:val="baseline"/>
      <w:outlineLvl w:val="8"/>
    </w:pPr>
    <w:rPr>
      <w:rFonts w:ascii="Arial" w:hAnsi="Arial" w:eastAsia="黑体" w:cs="Times New Roman"/>
      <w:kern w:val="0"/>
      <w:sz w:val="24"/>
      <w:szCs w:val="20"/>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index 4"/>
    <w:basedOn w:val="1"/>
    <w:next w:val="1"/>
    <w:semiHidden/>
    <w:unhideWhenUsed/>
    <w:qFormat/>
    <w:uiPriority w:val="99"/>
    <w:pPr>
      <w:ind w:left="600" w:leftChars="600"/>
    </w:pPr>
  </w:style>
  <w:style w:type="paragraph" w:styleId="7">
    <w:name w:val="Normal Indent"/>
    <w:basedOn w:val="1"/>
    <w:semiHidden/>
    <w:unhideWhenUsed/>
    <w:qFormat/>
    <w:uiPriority w:val="99"/>
    <w:pPr>
      <w:ind w:firstLine="420" w:firstLineChars="200"/>
    </w:pPr>
  </w:style>
  <w:style w:type="paragraph" w:styleId="13">
    <w:name w:val="footer"/>
    <w:basedOn w:val="1"/>
    <w:link w:val="19"/>
    <w:unhideWhenUsed/>
    <w:qFormat/>
    <w:uiPriority w:val="99"/>
    <w:pPr>
      <w:tabs>
        <w:tab w:val="center" w:pos="4153"/>
        <w:tab w:val="right" w:pos="8306"/>
      </w:tabs>
      <w:snapToGrid w:val="0"/>
      <w:jc w:val="left"/>
    </w:pPr>
    <w:rPr>
      <w:sz w:val="18"/>
      <w:szCs w:val="18"/>
    </w:rPr>
  </w:style>
  <w:style w:type="paragraph" w:styleId="14">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页眉 字符"/>
    <w:basedOn w:val="17"/>
    <w:link w:val="14"/>
    <w:qFormat/>
    <w:uiPriority w:val="99"/>
    <w:rPr>
      <w:sz w:val="18"/>
      <w:szCs w:val="18"/>
    </w:rPr>
  </w:style>
  <w:style w:type="character" w:customStyle="1" w:styleId="19">
    <w:name w:val="页脚 字符"/>
    <w:basedOn w:val="17"/>
    <w:link w:val="13"/>
    <w:qFormat/>
    <w:uiPriority w:val="99"/>
    <w:rPr>
      <w:sz w:val="18"/>
      <w:szCs w:val="18"/>
    </w:rPr>
  </w:style>
  <w:style w:type="paragraph" w:styleId="20">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21">
    <w:name w:val="标题 1 字符"/>
    <w:basedOn w:val="17"/>
    <w:link w:val="2"/>
    <w:qFormat/>
    <w:uiPriority w:val="0"/>
    <w:rPr>
      <w:rFonts w:ascii="Times New Roman" w:hAnsi="Times New Roman" w:eastAsia="宋体" w:cs="Times New Roman"/>
      <w:b/>
      <w:bCs/>
      <w:kern w:val="44"/>
      <w:sz w:val="44"/>
      <w:szCs w:val="44"/>
    </w:rPr>
  </w:style>
  <w:style w:type="character" w:customStyle="1" w:styleId="22">
    <w:name w:val="标题 2 字符"/>
    <w:basedOn w:val="17"/>
    <w:link w:val="3"/>
    <w:qFormat/>
    <w:uiPriority w:val="0"/>
    <w:rPr>
      <w:rFonts w:ascii="Arial" w:hAnsi="Arial" w:eastAsia="黑体" w:cs="Times New Roman"/>
      <w:b/>
      <w:bCs/>
      <w:sz w:val="32"/>
      <w:szCs w:val="32"/>
    </w:rPr>
  </w:style>
  <w:style w:type="character" w:customStyle="1" w:styleId="23">
    <w:name w:val="标题 3 字符"/>
    <w:basedOn w:val="17"/>
    <w:link w:val="4"/>
    <w:qFormat/>
    <w:uiPriority w:val="0"/>
    <w:rPr>
      <w:rFonts w:ascii="Times New Roman" w:hAnsi="Times New Roman" w:eastAsia="宋体" w:cs="Times New Roman"/>
      <w:b/>
      <w:bCs/>
      <w:sz w:val="32"/>
      <w:szCs w:val="32"/>
    </w:rPr>
  </w:style>
  <w:style w:type="character" w:customStyle="1" w:styleId="24">
    <w:name w:val="标题 4 字符"/>
    <w:basedOn w:val="17"/>
    <w:link w:val="5"/>
    <w:qFormat/>
    <w:uiPriority w:val="0"/>
    <w:rPr>
      <w:rFonts w:ascii="Times New Roman" w:hAnsi="Times New Roman" w:eastAsia="黑体" w:cs="Times New Roman"/>
      <w:sz w:val="24"/>
      <w:szCs w:val="20"/>
    </w:rPr>
  </w:style>
  <w:style w:type="character" w:customStyle="1" w:styleId="25">
    <w:name w:val="标题 5 字符"/>
    <w:basedOn w:val="17"/>
    <w:link w:val="8"/>
    <w:qFormat/>
    <w:uiPriority w:val="0"/>
    <w:rPr>
      <w:rFonts w:ascii="Times New Roman" w:hAnsi="Times New Roman" w:eastAsia="黑体" w:cs="Times New Roman"/>
      <w:sz w:val="24"/>
      <w:szCs w:val="20"/>
    </w:rPr>
  </w:style>
  <w:style w:type="character" w:customStyle="1" w:styleId="26">
    <w:name w:val="标题 6 字符"/>
    <w:basedOn w:val="17"/>
    <w:link w:val="9"/>
    <w:uiPriority w:val="0"/>
    <w:rPr>
      <w:rFonts w:ascii="Times New Roman" w:hAnsi="Times New Roman" w:eastAsia="宋体" w:cs="Times New Roman"/>
      <w:sz w:val="24"/>
      <w:szCs w:val="20"/>
    </w:rPr>
  </w:style>
  <w:style w:type="character" w:customStyle="1" w:styleId="27">
    <w:name w:val="标题 7 字符"/>
    <w:basedOn w:val="17"/>
    <w:link w:val="10"/>
    <w:qFormat/>
    <w:uiPriority w:val="0"/>
    <w:rPr>
      <w:rFonts w:ascii="Times New Roman" w:hAnsi="Times New Roman" w:eastAsia="宋体" w:cs="Times New Roman"/>
      <w:kern w:val="0"/>
      <w:sz w:val="24"/>
      <w:szCs w:val="20"/>
    </w:rPr>
  </w:style>
  <w:style w:type="character" w:customStyle="1" w:styleId="28">
    <w:name w:val="标题 8 字符"/>
    <w:basedOn w:val="17"/>
    <w:link w:val="11"/>
    <w:qFormat/>
    <w:uiPriority w:val="0"/>
    <w:rPr>
      <w:rFonts w:ascii="Arial" w:hAnsi="Arial" w:eastAsia="宋体" w:cs="Times New Roman"/>
      <w:kern w:val="0"/>
      <w:sz w:val="24"/>
      <w:szCs w:val="20"/>
    </w:rPr>
  </w:style>
  <w:style w:type="character" w:customStyle="1" w:styleId="29">
    <w:name w:val="标题 9 字符"/>
    <w:basedOn w:val="17"/>
    <w:link w:val="12"/>
    <w:qFormat/>
    <w:uiPriority w:val="0"/>
    <w:rPr>
      <w:rFonts w:ascii="Arial" w:hAnsi="Arial" w:eastAsia="黑体" w:cs="Times New Roman"/>
      <w:kern w:val="0"/>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390</Words>
  <Characters>2223</Characters>
  <Lines>18</Lines>
  <Paragraphs>5</Paragraphs>
  <TotalTime>129</TotalTime>
  <ScaleCrop>false</ScaleCrop>
  <LinksUpToDate>false</LinksUpToDate>
  <CharactersWithSpaces>2608</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2020-06-11T06:21:00Z</dcterms:created>
  <dc:creator>轩辕 轩辕</dc:creator>
  <cp:lastModifiedBy>宇</cp:lastModifiedBy>
  <dcterms:modified xsi:type="dcterms:W3CDTF">2020-07-06T02:52:55Z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